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001" w:rsidRPr="00A54001" w:rsidRDefault="00A54001" w:rsidP="00A54001">
      <w:pPr>
        <w:spacing w:after="120" w:line="240" w:lineRule="auto"/>
        <w:jc w:val="center"/>
        <w:rPr>
          <w:rFonts w:ascii="Verdana" w:eastAsia="Times New Roman" w:hAnsi="Verdana" w:cs="Times New Roman"/>
          <w:b/>
          <w:sz w:val="20"/>
          <w:szCs w:val="24"/>
          <w:lang w:val="es-ES" w:eastAsia="es-ES"/>
        </w:rPr>
      </w:pPr>
      <w:bookmarkStart w:id="0" w:name="_GoBack"/>
      <w:bookmarkEnd w:id="0"/>
      <w:r w:rsidRPr="00A54001">
        <w:rPr>
          <w:rFonts w:ascii="Verdana" w:eastAsia="Times New Roman" w:hAnsi="Verdana" w:cs="Times New Roman"/>
          <w:b/>
          <w:sz w:val="20"/>
          <w:szCs w:val="24"/>
          <w:lang w:val="es-ES" w:eastAsia="es-ES"/>
        </w:rPr>
        <w:t>F</w:t>
      </w:r>
      <w:r w:rsidR="000D0EF0">
        <w:rPr>
          <w:rFonts w:ascii="Verdana" w:eastAsia="Times New Roman" w:hAnsi="Verdana" w:cs="Times New Roman"/>
          <w:b/>
          <w:sz w:val="20"/>
          <w:szCs w:val="24"/>
          <w:lang w:val="es-ES" w:eastAsia="es-ES"/>
        </w:rPr>
        <w:t>ICHA</w:t>
      </w:r>
      <w:r w:rsidRPr="00A54001">
        <w:rPr>
          <w:rFonts w:ascii="Verdana" w:eastAsia="Times New Roman" w:hAnsi="Verdana" w:cs="Times New Roman"/>
          <w:b/>
          <w:sz w:val="20"/>
          <w:szCs w:val="24"/>
          <w:lang w:val="es-ES" w:eastAsia="es-ES"/>
        </w:rPr>
        <w:t xml:space="preserve"> JURISPRUDENCIA</w:t>
      </w:r>
    </w:p>
    <w:p w:rsidR="00A54001" w:rsidRPr="00A54001" w:rsidRDefault="00A54001" w:rsidP="00A54001">
      <w:pPr>
        <w:spacing w:after="120" w:line="240" w:lineRule="auto"/>
        <w:jc w:val="center"/>
        <w:rPr>
          <w:rFonts w:ascii="Verdana" w:eastAsia="Times New Roman" w:hAnsi="Verdana" w:cs="Times New Roman"/>
          <w:b/>
          <w:sz w:val="20"/>
          <w:szCs w:val="24"/>
          <w:lang w:val="es-ES" w:eastAsia="es-ES"/>
        </w:rPr>
      </w:pPr>
    </w:p>
    <w:tbl>
      <w:tblPr>
        <w:tblW w:w="8842" w:type="dxa"/>
        <w:tblInd w:w="57" w:type="dxa"/>
        <w:tblCellMar>
          <w:left w:w="70" w:type="dxa"/>
          <w:right w:w="70" w:type="dxa"/>
        </w:tblCellMar>
        <w:tblLook w:val="0000"/>
      </w:tblPr>
      <w:tblGrid>
        <w:gridCol w:w="4333"/>
        <w:gridCol w:w="4509"/>
      </w:tblGrid>
      <w:tr w:rsidR="00A54001" w:rsidRPr="00A54001" w:rsidTr="00001E92">
        <w:trPr>
          <w:trHeight w:val="412"/>
        </w:trPr>
        <w:tc>
          <w:tcPr>
            <w:tcW w:w="8842" w:type="dxa"/>
            <w:gridSpan w:val="2"/>
            <w:tcBorders>
              <w:top w:val="single" w:sz="4" w:space="0" w:color="auto"/>
              <w:left w:val="single" w:sz="4" w:space="0" w:color="auto"/>
              <w:bottom w:val="single" w:sz="4" w:space="0" w:color="auto"/>
              <w:right w:val="single" w:sz="4" w:space="0" w:color="auto"/>
            </w:tcBorders>
            <w:shd w:val="clear" w:color="auto" w:fill="969696"/>
            <w:vAlign w:val="center"/>
          </w:tcPr>
          <w:p w:rsidR="00A54001" w:rsidRPr="00A54001" w:rsidRDefault="00A54001" w:rsidP="000D0EF0">
            <w:pPr>
              <w:spacing w:after="0" w:line="240" w:lineRule="auto"/>
              <w:rPr>
                <w:rFonts w:ascii="Verdana" w:eastAsia="Times New Roman" w:hAnsi="Verdana" w:cs="Arial"/>
                <w:b/>
                <w:bCs/>
                <w:color w:val="FFFFFF"/>
                <w:sz w:val="20"/>
                <w:szCs w:val="20"/>
                <w:lang w:val="es-ES" w:eastAsia="es-ES"/>
              </w:rPr>
            </w:pPr>
          </w:p>
        </w:tc>
      </w:tr>
      <w:tr w:rsidR="00A54001" w:rsidRPr="00A54001" w:rsidTr="00001E92">
        <w:trPr>
          <w:trHeight w:val="318"/>
        </w:trPr>
        <w:tc>
          <w:tcPr>
            <w:tcW w:w="4333" w:type="dxa"/>
            <w:tcBorders>
              <w:top w:val="single" w:sz="4" w:space="0" w:color="auto"/>
              <w:left w:val="single" w:sz="4" w:space="0" w:color="auto"/>
              <w:bottom w:val="single" w:sz="4" w:space="0" w:color="auto"/>
              <w:right w:val="single" w:sz="4" w:space="0" w:color="000000"/>
            </w:tcBorders>
            <w:shd w:val="clear" w:color="auto" w:fill="C0C0C0"/>
            <w:vAlign w:val="center"/>
          </w:tcPr>
          <w:p w:rsidR="00A54001" w:rsidRPr="00A54001" w:rsidRDefault="00A54001" w:rsidP="00A54001">
            <w:pPr>
              <w:spacing w:after="0" w:line="240" w:lineRule="auto"/>
              <w:rPr>
                <w:rFonts w:ascii="Verdana" w:eastAsia="Times New Roman" w:hAnsi="Verdana" w:cs="Arial"/>
                <w:b/>
                <w:bCs/>
                <w:sz w:val="20"/>
                <w:szCs w:val="20"/>
                <w:lang w:val="es-ES" w:eastAsia="es-ES"/>
              </w:rPr>
            </w:pPr>
            <w:r>
              <w:rPr>
                <w:rFonts w:ascii="Verdana" w:eastAsia="Times New Roman" w:hAnsi="Verdana" w:cs="Arial"/>
                <w:b/>
                <w:bCs/>
                <w:sz w:val="20"/>
                <w:szCs w:val="20"/>
                <w:lang w:val="es-ES" w:eastAsia="es-ES"/>
              </w:rPr>
              <w:t>Descriptores</w:t>
            </w:r>
          </w:p>
        </w:tc>
        <w:tc>
          <w:tcPr>
            <w:tcW w:w="4509" w:type="dxa"/>
            <w:tcBorders>
              <w:top w:val="single" w:sz="4" w:space="0" w:color="auto"/>
              <w:left w:val="nil"/>
              <w:bottom w:val="single" w:sz="4" w:space="0" w:color="auto"/>
              <w:right w:val="single" w:sz="4" w:space="0" w:color="000000"/>
            </w:tcBorders>
            <w:shd w:val="clear" w:color="auto" w:fill="C0C0C0"/>
            <w:vAlign w:val="center"/>
          </w:tcPr>
          <w:p w:rsidR="00A54001" w:rsidRDefault="00BC16DD" w:rsidP="00A54001">
            <w:pPr>
              <w:keepNext/>
              <w:spacing w:after="0" w:line="240" w:lineRule="auto"/>
              <w:jc w:val="center"/>
              <w:outlineLvl w:val="0"/>
              <w:rPr>
                <w:rFonts w:ascii="Verdana" w:eastAsia="Times New Roman" w:hAnsi="Verdana" w:cs="Arial"/>
                <w:b/>
                <w:bCs/>
                <w:sz w:val="20"/>
                <w:szCs w:val="20"/>
                <w:lang w:val="es-ES" w:eastAsia="es-ES"/>
              </w:rPr>
            </w:pPr>
            <w:r>
              <w:rPr>
                <w:rFonts w:ascii="Verdana" w:eastAsia="Times New Roman" w:hAnsi="Verdana" w:cs="Arial"/>
                <w:b/>
                <w:bCs/>
                <w:sz w:val="20"/>
                <w:szCs w:val="20"/>
                <w:lang w:val="es-ES" w:eastAsia="es-ES"/>
              </w:rPr>
              <w:t>Contaminación Ambiental- Informes de organismo públicos y privados.</w:t>
            </w:r>
          </w:p>
          <w:p w:rsidR="00BC16DD" w:rsidRPr="00A54001" w:rsidRDefault="00BC16DD" w:rsidP="00A54001">
            <w:pPr>
              <w:keepNext/>
              <w:spacing w:after="0" w:line="240" w:lineRule="auto"/>
              <w:jc w:val="center"/>
              <w:outlineLvl w:val="0"/>
              <w:rPr>
                <w:rFonts w:ascii="Verdana" w:eastAsia="Times New Roman" w:hAnsi="Verdana" w:cs="Arial"/>
                <w:b/>
                <w:bCs/>
                <w:sz w:val="20"/>
                <w:szCs w:val="20"/>
                <w:lang w:val="es-ES" w:eastAsia="es-ES"/>
              </w:rPr>
            </w:pPr>
          </w:p>
        </w:tc>
      </w:tr>
      <w:tr w:rsidR="00A54001" w:rsidRPr="00A54001" w:rsidTr="00001E92">
        <w:trPr>
          <w:trHeight w:val="318"/>
        </w:trPr>
        <w:tc>
          <w:tcPr>
            <w:tcW w:w="4333" w:type="dxa"/>
            <w:tcBorders>
              <w:top w:val="single" w:sz="4" w:space="0" w:color="auto"/>
              <w:left w:val="single" w:sz="4" w:space="0" w:color="auto"/>
              <w:bottom w:val="single" w:sz="4" w:space="0" w:color="auto"/>
              <w:right w:val="single" w:sz="4" w:space="0" w:color="000000"/>
            </w:tcBorders>
            <w:shd w:val="clear" w:color="auto" w:fill="C0C0C0"/>
            <w:vAlign w:val="center"/>
          </w:tcPr>
          <w:p w:rsidR="00A54001" w:rsidRPr="00A54001" w:rsidRDefault="00A54001" w:rsidP="00A54001">
            <w:pPr>
              <w:spacing w:after="0" w:line="240" w:lineRule="auto"/>
              <w:rPr>
                <w:rFonts w:ascii="Verdana" w:eastAsia="Times New Roman" w:hAnsi="Verdana" w:cs="Arial"/>
                <w:b/>
                <w:bCs/>
                <w:sz w:val="20"/>
                <w:szCs w:val="20"/>
                <w:lang w:val="es-ES" w:eastAsia="es-ES"/>
              </w:rPr>
            </w:pPr>
            <w:r>
              <w:rPr>
                <w:rFonts w:ascii="Verdana" w:eastAsia="Times New Roman" w:hAnsi="Verdana" w:cs="Arial"/>
                <w:b/>
                <w:bCs/>
                <w:sz w:val="20"/>
                <w:szCs w:val="20"/>
                <w:lang w:val="es-ES" w:eastAsia="es-ES"/>
              </w:rPr>
              <w:t>Tribunal</w:t>
            </w:r>
          </w:p>
        </w:tc>
        <w:tc>
          <w:tcPr>
            <w:tcW w:w="4509" w:type="dxa"/>
            <w:tcBorders>
              <w:top w:val="single" w:sz="4" w:space="0" w:color="auto"/>
              <w:left w:val="nil"/>
              <w:bottom w:val="single" w:sz="4" w:space="0" w:color="auto"/>
              <w:right w:val="single" w:sz="4" w:space="0" w:color="000000"/>
            </w:tcBorders>
            <w:shd w:val="clear" w:color="auto" w:fill="C0C0C0"/>
            <w:vAlign w:val="center"/>
          </w:tcPr>
          <w:p w:rsidR="00A54001" w:rsidRDefault="004E29DF" w:rsidP="00A54001">
            <w:pPr>
              <w:keepNext/>
              <w:spacing w:after="0" w:line="240" w:lineRule="auto"/>
              <w:jc w:val="center"/>
              <w:outlineLvl w:val="0"/>
              <w:rPr>
                <w:rFonts w:ascii="Verdana" w:eastAsia="Times New Roman" w:hAnsi="Verdana" w:cs="Arial"/>
                <w:b/>
                <w:bCs/>
                <w:sz w:val="20"/>
                <w:szCs w:val="20"/>
                <w:lang w:val="es-ES" w:eastAsia="es-ES"/>
              </w:rPr>
            </w:pPr>
            <w:r>
              <w:rPr>
                <w:rFonts w:ascii="Verdana" w:eastAsia="Times New Roman" w:hAnsi="Verdana" w:cs="Arial"/>
                <w:b/>
                <w:bCs/>
                <w:sz w:val="20"/>
                <w:szCs w:val="20"/>
                <w:lang w:val="es-ES" w:eastAsia="es-ES"/>
              </w:rPr>
              <w:t xml:space="preserve">Corte de Apelaciones </w:t>
            </w:r>
            <w:r w:rsidR="00BC16DD">
              <w:rPr>
                <w:rFonts w:ascii="Verdana" w:eastAsia="Times New Roman" w:hAnsi="Verdana" w:cs="Arial"/>
                <w:b/>
                <w:bCs/>
                <w:sz w:val="20"/>
                <w:szCs w:val="20"/>
                <w:lang w:val="es-ES" w:eastAsia="es-ES"/>
              </w:rPr>
              <w:t>de La Serena y Corte Suprema.</w:t>
            </w:r>
          </w:p>
          <w:p w:rsidR="00BC16DD" w:rsidRPr="00A54001" w:rsidRDefault="00BC16DD" w:rsidP="00A54001">
            <w:pPr>
              <w:keepNext/>
              <w:spacing w:after="0" w:line="240" w:lineRule="auto"/>
              <w:jc w:val="center"/>
              <w:outlineLvl w:val="0"/>
              <w:rPr>
                <w:rFonts w:ascii="Verdana" w:eastAsia="Times New Roman" w:hAnsi="Verdana" w:cs="Arial"/>
                <w:b/>
                <w:bCs/>
                <w:sz w:val="20"/>
                <w:szCs w:val="20"/>
                <w:lang w:val="es-ES" w:eastAsia="es-ES"/>
              </w:rPr>
            </w:pPr>
          </w:p>
        </w:tc>
      </w:tr>
      <w:tr w:rsidR="00A54001" w:rsidRPr="00A54001" w:rsidTr="00001E92">
        <w:trPr>
          <w:trHeight w:val="318"/>
        </w:trPr>
        <w:tc>
          <w:tcPr>
            <w:tcW w:w="4333" w:type="dxa"/>
            <w:tcBorders>
              <w:top w:val="single" w:sz="4" w:space="0" w:color="auto"/>
              <w:left w:val="single" w:sz="4" w:space="0" w:color="auto"/>
              <w:bottom w:val="single" w:sz="4" w:space="0" w:color="auto"/>
              <w:right w:val="single" w:sz="4" w:space="0" w:color="000000"/>
            </w:tcBorders>
            <w:shd w:val="clear" w:color="auto" w:fill="C0C0C0"/>
            <w:vAlign w:val="center"/>
          </w:tcPr>
          <w:p w:rsidR="00A54001" w:rsidRPr="00A54001" w:rsidRDefault="00A54001" w:rsidP="00A54001">
            <w:pPr>
              <w:spacing w:after="0" w:line="240" w:lineRule="auto"/>
              <w:rPr>
                <w:rFonts w:ascii="Verdana" w:eastAsia="Times New Roman" w:hAnsi="Verdana" w:cs="Arial"/>
                <w:b/>
                <w:bCs/>
                <w:sz w:val="20"/>
                <w:szCs w:val="20"/>
                <w:lang w:val="es-ES" w:eastAsia="es-ES"/>
              </w:rPr>
            </w:pPr>
            <w:r w:rsidRPr="00A54001">
              <w:rPr>
                <w:rFonts w:ascii="Verdana" w:eastAsia="Times New Roman" w:hAnsi="Verdana" w:cs="Arial"/>
                <w:b/>
                <w:bCs/>
                <w:sz w:val="20"/>
                <w:szCs w:val="20"/>
                <w:lang w:val="es-ES" w:eastAsia="es-ES"/>
              </w:rPr>
              <w:t>Rol</w:t>
            </w:r>
          </w:p>
        </w:tc>
        <w:tc>
          <w:tcPr>
            <w:tcW w:w="4509" w:type="dxa"/>
            <w:tcBorders>
              <w:top w:val="single" w:sz="4" w:space="0" w:color="auto"/>
              <w:left w:val="nil"/>
              <w:bottom w:val="single" w:sz="4" w:space="0" w:color="auto"/>
              <w:right w:val="single" w:sz="4" w:space="0" w:color="000000"/>
            </w:tcBorders>
            <w:shd w:val="clear" w:color="auto" w:fill="C0C0C0"/>
            <w:vAlign w:val="center"/>
          </w:tcPr>
          <w:p w:rsidR="00A54001" w:rsidRPr="00A54001" w:rsidRDefault="004E29DF" w:rsidP="00A54001">
            <w:pPr>
              <w:keepNext/>
              <w:spacing w:after="0" w:line="240" w:lineRule="auto"/>
              <w:jc w:val="center"/>
              <w:outlineLvl w:val="0"/>
              <w:rPr>
                <w:rFonts w:ascii="Verdana" w:eastAsia="Times New Roman" w:hAnsi="Verdana" w:cs="Arial"/>
                <w:b/>
                <w:bCs/>
                <w:sz w:val="20"/>
                <w:szCs w:val="20"/>
                <w:lang w:val="es-ES" w:eastAsia="es-ES"/>
              </w:rPr>
            </w:pPr>
            <w:r>
              <w:rPr>
                <w:rFonts w:ascii="Verdana" w:eastAsia="Times New Roman" w:hAnsi="Verdana" w:cs="Arial"/>
                <w:b/>
                <w:bCs/>
                <w:sz w:val="20"/>
                <w:szCs w:val="20"/>
                <w:lang w:val="es-ES" w:eastAsia="es-ES"/>
              </w:rPr>
              <w:t>3155- 2005.</w:t>
            </w:r>
          </w:p>
        </w:tc>
      </w:tr>
      <w:tr w:rsidR="00A54001" w:rsidRPr="00A54001" w:rsidTr="00001E92">
        <w:trPr>
          <w:trHeight w:val="318"/>
        </w:trPr>
        <w:tc>
          <w:tcPr>
            <w:tcW w:w="4333" w:type="dxa"/>
            <w:tcBorders>
              <w:top w:val="single" w:sz="4" w:space="0" w:color="auto"/>
              <w:left w:val="single" w:sz="4" w:space="0" w:color="auto"/>
              <w:bottom w:val="single" w:sz="4" w:space="0" w:color="auto"/>
              <w:right w:val="single" w:sz="4" w:space="0" w:color="000000"/>
            </w:tcBorders>
            <w:shd w:val="clear" w:color="auto" w:fill="C0C0C0"/>
            <w:vAlign w:val="center"/>
          </w:tcPr>
          <w:p w:rsidR="00A54001" w:rsidRPr="00A54001" w:rsidRDefault="00A54001" w:rsidP="00A54001">
            <w:pPr>
              <w:spacing w:after="0" w:line="240" w:lineRule="auto"/>
              <w:rPr>
                <w:rFonts w:ascii="Verdana" w:eastAsia="Times New Roman" w:hAnsi="Verdana" w:cs="Arial"/>
                <w:b/>
                <w:bCs/>
                <w:sz w:val="20"/>
                <w:szCs w:val="20"/>
                <w:lang w:val="es-ES" w:eastAsia="es-ES"/>
              </w:rPr>
            </w:pPr>
            <w:r w:rsidRPr="00A54001">
              <w:rPr>
                <w:rFonts w:ascii="Verdana" w:eastAsia="Times New Roman" w:hAnsi="Verdana" w:cs="Arial"/>
                <w:b/>
                <w:bCs/>
                <w:sz w:val="20"/>
                <w:szCs w:val="20"/>
                <w:lang w:val="es-ES" w:eastAsia="es-ES"/>
              </w:rPr>
              <w:t>Fecha</w:t>
            </w:r>
          </w:p>
        </w:tc>
        <w:tc>
          <w:tcPr>
            <w:tcW w:w="4509" w:type="dxa"/>
            <w:tcBorders>
              <w:top w:val="single" w:sz="4" w:space="0" w:color="auto"/>
              <w:left w:val="nil"/>
              <w:bottom w:val="single" w:sz="4" w:space="0" w:color="auto"/>
              <w:right w:val="single" w:sz="4" w:space="0" w:color="000000"/>
            </w:tcBorders>
            <w:shd w:val="clear" w:color="auto" w:fill="C0C0C0"/>
            <w:vAlign w:val="center"/>
          </w:tcPr>
          <w:p w:rsidR="00A54001" w:rsidRPr="00A54001" w:rsidRDefault="00BC16DD" w:rsidP="000D0EF0">
            <w:pPr>
              <w:keepNext/>
              <w:spacing w:after="0" w:line="240" w:lineRule="auto"/>
              <w:jc w:val="center"/>
              <w:outlineLvl w:val="0"/>
              <w:rPr>
                <w:rFonts w:ascii="Verdana" w:eastAsia="Times New Roman" w:hAnsi="Verdana" w:cs="Arial"/>
                <w:b/>
                <w:bCs/>
                <w:sz w:val="20"/>
                <w:szCs w:val="20"/>
                <w:lang w:val="es-ES" w:eastAsia="es-ES"/>
              </w:rPr>
            </w:pPr>
            <w:r>
              <w:rPr>
                <w:rFonts w:ascii="Verdana" w:eastAsia="Times New Roman" w:hAnsi="Verdana" w:cs="Arial"/>
                <w:b/>
                <w:bCs/>
                <w:sz w:val="20"/>
                <w:szCs w:val="20"/>
                <w:lang w:val="es-ES" w:eastAsia="es-ES"/>
              </w:rPr>
              <w:t xml:space="preserve">14 </w:t>
            </w:r>
            <w:r w:rsidR="000D0EF0">
              <w:rPr>
                <w:rFonts w:ascii="Verdana" w:eastAsia="Times New Roman" w:hAnsi="Verdana" w:cs="Arial"/>
                <w:b/>
                <w:bCs/>
                <w:sz w:val="20"/>
                <w:szCs w:val="20"/>
                <w:lang w:val="es-ES" w:eastAsia="es-ES"/>
              </w:rPr>
              <w:t>/06/</w:t>
            </w:r>
            <w:r>
              <w:rPr>
                <w:rFonts w:ascii="Verdana" w:eastAsia="Times New Roman" w:hAnsi="Verdana" w:cs="Arial"/>
                <w:b/>
                <w:bCs/>
                <w:sz w:val="20"/>
                <w:szCs w:val="20"/>
                <w:lang w:val="es-ES" w:eastAsia="es-ES"/>
              </w:rPr>
              <w:t xml:space="preserve"> 2005 y </w:t>
            </w:r>
            <w:r w:rsidR="004E29DF">
              <w:rPr>
                <w:rFonts w:ascii="Verdana" w:eastAsia="Times New Roman" w:hAnsi="Verdana" w:cs="Arial"/>
                <w:b/>
                <w:bCs/>
                <w:sz w:val="20"/>
                <w:szCs w:val="20"/>
                <w:lang w:val="es-ES" w:eastAsia="es-ES"/>
              </w:rPr>
              <w:t xml:space="preserve">26 </w:t>
            </w:r>
            <w:r w:rsidR="000D0EF0">
              <w:rPr>
                <w:rFonts w:ascii="Verdana" w:eastAsia="Times New Roman" w:hAnsi="Verdana" w:cs="Arial"/>
                <w:b/>
                <w:bCs/>
                <w:sz w:val="20"/>
                <w:szCs w:val="20"/>
                <w:lang w:val="es-ES" w:eastAsia="es-ES"/>
              </w:rPr>
              <w:t>/07/</w:t>
            </w:r>
            <w:r w:rsidR="004E29DF">
              <w:rPr>
                <w:rFonts w:ascii="Verdana" w:eastAsia="Times New Roman" w:hAnsi="Verdana" w:cs="Arial"/>
                <w:b/>
                <w:bCs/>
                <w:sz w:val="20"/>
                <w:szCs w:val="20"/>
                <w:lang w:val="es-ES" w:eastAsia="es-ES"/>
              </w:rPr>
              <w:t xml:space="preserve"> 2005.</w:t>
            </w:r>
          </w:p>
        </w:tc>
      </w:tr>
    </w:tbl>
    <w:p w:rsidR="00A54001" w:rsidRPr="00A54001" w:rsidRDefault="00A54001" w:rsidP="00A54001">
      <w:pPr>
        <w:spacing w:after="120" w:line="360" w:lineRule="auto"/>
        <w:rPr>
          <w:rFonts w:ascii="Verdana" w:eastAsia="Times New Roman" w:hAnsi="Verdana" w:cs="Times New Roman"/>
          <w:b/>
          <w:sz w:val="20"/>
          <w:szCs w:val="24"/>
          <w:lang w:val="pt-BR" w:eastAsia="es-ES"/>
        </w:rPr>
      </w:pPr>
    </w:p>
    <w:tbl>
      <w:tblPr>
        <w:tblW w:w="8837" w:type="dxa"/>
        <w:tblInd w:w="57" w:type="dxa"/>
        <w:tblCellMar>
          <w:left w:w="70" w:type="dxa"/>
          <w:right w:w="70" w:type="dxa"/>
        </w:tblCellMar>
        <w:tblLook w:val="0000"/>
      </w:tblPr>
      <w:tblGrid>
        <w:gridCol w:w="2563"/>
        <w:gridCol w:w="6274"/>
      </w:tblGrid>
      <w:tr w:rsidR="00A54001" w:rsidRPr="00A54001" w:rsidTr="00001E92">
        <w:trPr>
          <w:trHeight w:val="424"/>
        </w:trPr>
        <w:tc>
          <w:tcPr>
            <w:tcW w:w="8837" w:type="dxa"/>
            <w:gridSpan w:val="2"/>
            <w:tcBorders>
              <w:top w:val="single" w:sz="4" w:space="0" w:color="auto"/>
              <w:left w:val="single" w:sz="4" w:space="0" w:color="auto"/>
              <w:bottom w:val="single" w:sz="4" w:space="0" w:color="auto"/>
              <w:right w:val="single" w:sz="4" w:space="0" w:color="000000"/>
            </w:tcBorders>
            <w:shd w:val="clear" w:color="auto" w:fill="969696"/>
            <w:vAlign w:val="center"/>
          </w:tcPr>
          <w:p w:rsidR="00A54001" w:rsidRPr="00A54001" w:rsidRDefault="00A54001" w:rsidP="00A54001">
            <w:pPr>
              <w:spacing w:after="0" w:line="240" w:lineRule="auto"/>
              <w:jc w:val="center"/>
              <w:rPr>
                <w:rFonts w:ascii="Verdana" w:eastAsia="Times New Roman" w:hAnsi="Verdana" w:cs="Arial"/>
                <w:b/>
                <w:bCs/>
                <w:color w:val="FFFFFF"/>
                <w:sz w:val="20"/>
                <w:szCs w:val="20"/>
                <w:lang w:val="es-ES" w:eastAsia="es-ES"/>
              </w:rPr>
            </w:pPr>
            <w:r w:rsidRPr="00A54001">
              <w:rPr>
                <w:rFonts w:ascii="Verdana" w:eastAsia="Times New Roman" w:hAnsi="Verdana" w:cs="Arial"/>
                <w:b/>
                <w:bCs/>
                <w:color w:val="FFFFFF"/>
                <w:sz w:val="20"/>
                <w:szCs w:val="20"/>
                <w:lang w:val="es-ES" w:eastAsia="es-ES"/>
              </w:rPr>
              <w:t>Resumen del Fallo</w:t>
            </w:r>
          </w:p>
        </w:tc>
      </w:tr>
      <w:tr w:rsidR="00A54001" w:rsidRPr="00A54001" w:rsidTr="00001E92">
        <w:trPr>
          <w:trHeight w:val="676"/>
        </w:trPr>
        <w:tc>
          <w:tcPr>
            <w:tcW w:w="2296" w:type="dxa"/>
            <w:tcBorders>
              <w:top w:val="nil"/>
              <w:left w:val="single" w:sz="4" w:space="0" w:color="auto"/>
              <w:bottom w:val="single" w:sz="4" w:space="0" w:color="auto"/>
              <w:right w:val="single" w:sz="4" w:space="0" w:color="auto"/>
            </w:tcBorders>
            <w:vAlign w:val="center"/>
          </w:tcPr>
          <w:p w:rsidR="00A54001" w:rsidRPr="00A54001" w:rsidRDefault="00A54001" w:rsidP="00A54001">
            <w:pPr>
              <w:spacing w:after="0" w:line="240" w:lineRule="auto"/>
              <w:rPr>
                <w:rFonts w:ascii="Verdana" w:eastAsia="Times New Roman" w:hAnsi="Verdana" w:cs="Arial"/>
                <w:sz w:val="20"/>
                <w:szCs w:val="20"/>
                <w:lang w:val="es-ES" w:eastAsia="es-ES"/>
              </w:rPr>
            </w:pPr>
            <w:r w:rsidRPr="00A54001">
              <w:rPr>
                <w:rFonts w:ascii="Verdana" w:eastAsia="Times New Roman" w:hAnsi="Verdana" w:cs="Arial"/>
                <w:sz w:val="20"/>
                <w:szCs w:val="20"/>
                <w:lang w:val="es-ES" w:eastAsia="es-ES"/>
              </w:rPr>
              <w:t>Partes</w:t>
            </w:r>
          </w:p>
        </w:tc>
        <w:tc>
          <w:tcPr>
            <w:tcW w:w="6541" w:type="dxa"/>
            <w:tcBorders>
              <w:top w:val="single" w:sz="4" w:space="0" w:color="auto"/>
              <w:left w:val="nil"/>
              <w:bottom w:val="single" w:sz="4" w:space="0" w:color="auto"/>
              <w:right w:val="single" w:sz="4" w:space="0" w:color="000000"/>
            </w:tcBorders>
            <w:vAlign w:val="center"/>
          </w:tcPr>
          <w:p w:rsidR="00A54001" w:rsidRPr="00A54001" w:rsidRDefault="00BC16DD" w:rsidP="000D0EF0">
            <w:pPr>
              <w:spacing w:after="0" w:line="240" w:lineRule="auto"/>
              <w:rPr>
                <w:rFonts w:ascii="Verdana" w:eastAsia="Times New Roman" w:hAnsi="Verdana" w:cs="Arial"/>
                <w:sz w:val="20"/>
                <w:szCs w:val="20"/>
                <w:lang w:val="es-ES" w:eastAsia="es-ES"/>
              </w:rPr>
            </w:pPr>
            <w:r w:rsidRPr="00BC16DD">
              <w:rPr>
                <w:rFonts w:ascii="Verdana" w:hAnsi="Verdana"/>
                <w:sz w:val="20"/>
                <w:szCs w:val="20"/>
              </w:rPr>
              <w:t xml:space="preserve">Sociedad </w:t>
            </w:r>
            <w:proofErr w:type="spellStart"/>
            <w:r w:rsidRPr="00BC16DD">
              <w:rPr>
                <w:rFonts w:ascii="Verdana" w:hAnsi="Verdana"/>
                <w:sz w:val="20"/>
                <w:szCs w:val="20"/>
              </w:rPr>
              <w:t>Agronoble</w:t>
            </w:r>
            <w:proofErr w:type="spellEnd"/>
            <w:r w:rsidRPr="00BC16DD">
              <w:rPr>
                <w:rFonts w:ascii="Verdana" w:hAnsi="Verdana"/>
                <w:sz w:val="20"/>
                <w:szCs w:val="20"/>
              </w:rPr>
              <w:t xml:space="preserve"> Sociedad Anónima; con Compañía Minera </w:t>
            </w:r>
            <w:proofErr w:type="spellStart"/>
            <w:r w:rsidRPr="00BC16DD">
              <w:rPr>
                <w:rFonts w:ascii="Verdana" w:hAnsi="Verdana"/>
                <w:sz w:val="20"/>
                <w:szCs w:val="20"/>
              </w:rPr>
              <w:t>Panulcillo</w:t>
            </w:r>
            <w:proofErr w:type="spellEnd"/>
            <w:r w:rsidRPr="00BC16DD">
              <w:rPr>
                <w:rFonts w:ascii="Verdana" w:hAnsi="Verdana"/>
                <w:sz w:val="20"/>
                <w:szCs w:val="20"/>
              </w:rPr>
              <w:t xml:space="preserve"> S</w:t>
            </w:r>
            <w:r>
              <w:rPr>
                <w:rFonts w:ascii="Verdana" w:hAnsi="Verdana"/>
                <w:sz w:val="20"/>
                <w:szCs w:val="20"/>
              </w:rPr>
              <w:t xml:space="preserve">ociedad Anónima filial de </w:t>
            </w:r>
            <w:proofErr w:type="spellStart"/>
            <w:r>
              <w:rPr>
                <w:rFonts w:ascii="Verdana" w:hAnsi="Verdana"/>
                <w:sz w:val="20"/>
                <w:szCs w:val="20"/>
              </w:rPr>
              <w:t>Enami</w:t>
            </w:r>
            <w:proofErr w:type="spellEnd"/>
            <w:r>
              <w:rPr>
                <w:rFonts w:ascii="Verdana" w:hAnsi="Verdana"/>
                <w:sz w:val="20"/>
                <w:szCs w:val="20"/>
              </w:rPr>
              <w:t>.</w:t>
            </w:r>
          </w:p>
        </w:tc>
      </w:tr>
      <w:tr w:rsidR="00A54001" w:rsidRPr="00A54001" w:rsidTr="00001E92">
        <w:trPr>
          <w:trHeight w:val="625"/>
        </w:trPr>
        <w:tc>
          <w:tcPr>
            <w:tcW w:w="2296" w:type="dxa"/>
            <w:tcBorders>
              <w:top w:val="nil"/>
              <w:left w:val="single" w:sz="4" w:space="0" w:color="auto"/>
              <w:bottom w:val="single" w:sz="4" w:space="0" w:color="auto"/>
              <w:right w:val="single" w:sz="4" w:space="0" w:color="auto"/>
            </w:tcBorders>
            <w:vAlign w:val="center"/>
          </w:tcPr>
          <w:p w:rsidR="00A54001" w:rsidRPr="00A54001" w:rsidRDefault="00A54001" w:rsidP="000D0EF0">
            <w:pPr>
              <w:spacing w:after="0" w:line="240" w:lineRule="auto"/>
              <w:rPr>
                <w:rFonts w:ascii="Verdana" w:eastAsia="Times New Roman" w:hAnsi="Verdana" w:cs="Arial"/>
                <w:sz w:val="20"/>
                <w:szCs w:val="20"/>
                <w:lang w:val="es-ES" w:eastAsia="es-ES"/>
              </w:rPr>
            </w:pPr>
            <w:r w:rsidRPr="00A54001">
              <w:rPr>
                <w:rFonts w:ascii="Verdana" w:eastAsia="Times New Roman" w:hAnsi="Verdana" w:cs="Arial"/>
                <w:sz w:val="20"/>
                <w:szCs w:val="20"/>
                <w:lang w:val="es-ES" w:eastAsia="es-ES"/>
              </w:rPr>
              <w:t>Derechos Involucrados/</w:t>
            </w:r>
            <w:r w:rsidR="000D0EF0">
              <w:rPr>
                <w:rFonts w:ascii="Verdana" w:eastAsia="Times New Roman" w:hAnsi="Verdana" w:cs="Arial"/>
                <w:sz w:val="20"/>
                <w:szCs w:val="20"/>
                <w:lang w:val="es-ES" w:eastAsia="es-ES"/>
              </w:rPr>
              <w:t>legislación aplicable</w:t>
            </w:r>
          </w:p>
        </w:tc>
        <w:tc>
          <w:tcPr>
            <w:tcW w:w="6541" w:type="dxa"/>
            <w:tcBorders>
              <w:top w:val="single" w:sz="4" w:space="0" w:color="auto"/>
              <w:left w:val="nil"/>
              <w:bottom w:val="single" w:sz="4" w:space="0" w:color="auto"/>
              <w:right w:val="single" w:sz="4" w:space="0" w:color="000000"/>
            </w:tcBorders>
            <w:vAlign w:val="center"/>
          </w:tcPr>
          <w:p w:rsidR="00A54001" w:rsidRPr="00A54001" w:rsidRDefault="00BC16DD" w:rsidP="000D0EF0">
            <w:pPr>
              <w:spacing w:after="0" w:line="240" w:lineRule="auto"/>
              <w:rPr>
                <w:rFonts w:ascii="Verdana" w:eastAsia="Times New Roman" w:hAnsi="Verdana" w:cs="Arial"/>
                <w:sz w:val="20"/>
                <w:szCs w:val="20"/>
                <w:lang w:val="es-ES" w:eastAsia="es-ES"/>
              </w:rPr>
            </w:pPr>
            <w:r>
              <w:rPr>
                <w:rFonts w:ascii="Verdana" w:eastAsia="Times New Roman" w:hAnsi="Verdana" w:cs="Arial"/>
                <w:sz w:val="20"/>
                <w:szCs w:val="20"/>
                <w:lang w:val="es-ES" w:eastAsia="es-ES"/>
              </w:rPr>
              <w:t>Artículo 19 ° 1, 8 y 24 de la Constitución Política de la República.</w:t>
            </w:r>
          </w:p>
        </w:tc>
      </w:tr>
      <w:tr w:rsidR="00A54001" w:rsidRPr="00A54001" w:rsidTr="00001E92">
        <w:trPr>
          <w:trHeight w:val="2785"/>
        </w:trPr>
        <w:tc>
          <w:tcPr>
            <w:tcW w:w="2296" w:type="dxa"/>
            <w:tcBorders>
              <w:top w:val="nil"/>
              <w:left w:val="single" w:sz="4" w:space="0" w:color="auto"/>
              <w:bottom w:val="single" w:sz="4" w:space="0" w:color="auto"/>
              <w:right w:val="single" w:sz="4" w:space="0" w:color="auto"/>
            </w:tcBorders>
            <w:vAlign w:val="center"/>
          </w:tcPr>
          <w:p w:rsidR="00A54001" w:rsidRPr="00A54001" w:rsidRDefault="00A54001" w:rsidP="00A54001">
            <w:pPr>
              <w:spacing w:after="0" w:line="240" w:lineRule="auto"/>
              <w:rPr>
                <w:rFonts w:ascii="Verdana" w:eastAsia="Times New Roman" w:hAnsi="Verdana" w:cs="Arial"/>
                <w:sz w:val="20"/>
                <w:szCs w:val="20"/>
                <w:lang w:val="es-ES" w:eastAsia="es-ES"/>
              </w:rPr>
            </w:pPr>
            <w:r w:rsidRPr="00A54001">
              <w:rPr>
                <w:rFonts w:ascii="Verdana" w:eastAsia="Times New Roman" w:hAnsi="Verdana" w:cs="Arial"/>
                <w:sz w:val="20"/>
                <w:szCs w:val="20"/>
                <w:lang w:val="es-ES" w:eastAsia="es-ES"/>
              </w:rPr>
              <w:t>Descripción del caso /conflicto</w:t>
            </w:r>
          </w:p>
          <w:p w:rsidR="00A54001" w:rsidRPr="00A54001" w:rsidRDefault="00A54001" w:rsidP="00A54001">
            <w:pPr>
              <w:spacing w:after="0" w:line="240" w:lineRule="auto"/>
              <w:rPr>
                <w:rFonts w:ascii="Verdana" w:eastAsia="Times New Roman" w:hAnsi="Verdana" w:cs="Arial"/>
                <w:sz w:val="20"/>
                <w:szCs w:val="20"/>
                <w:lang w:val="es-ES" w:eastAsia="es-ES"/>
              </w:rPr>
            </w:pPr>
            <w:r w:rsidRPr="00A54001">
              <w:rPr>
                <w:rFonts w:ascii="Verdana" w:eastAsia="Times New Roman" w:hAnsi="Verdana" w:cs="Arial"/>
                <w:sz w:val="20"/>
                <w:szCs w:val="20"/>
                <w:lang w:val="es-ES" w:eastAsia="es-ES"/>
              </w:rPr>
              <w:t xml:space="preserve"> </w:t>
            </w:r>
          </w:p>
          <w:p w:rsidR="00A54001" w:rsidRPr="00A54001" w:rsidRDefault="00A54001" w:rsidP="00A54001">
            <w:pPr>
              <w:spacing w:after="0" w:line="240" w:lineRule="auto"/>
              <w:rPr>
                <w:rFonts w:ascii="Verdana" w:eastAsia="Times New Roman" w:hAnsi="Verdana" w:cs="Arial"/>
                <w:sz w:val="20"/>
                <w:szCs w:val="20"/>
                <w:lang w:val="es-ES" w:eastAsia="es-ES"/>
              </w:rPr>
            </w:pPr>
          </w:p>
        </w:tc>
        <w:tc>
          <w:tcPr>
            <w:tcW w:w="6541" w:type="dxa"/>
            <w:tcBorders>
              <w:top w:val="single" w:sz="4" w:space="0" w:color="auto"/>
              <w:left w:val="nil"/>
              <w:bottom w:val="single" w:sz="4" w:space="0" w:color="auto"/>
              <w:right w:val="single" w:sz="4" w:space="0" w:color="000000"/>
            </w:tcBorders>
            <w:vAlign w:val="center"/>
          </w:tcPr>
          <w:p w:rsidR="00A54001" w:rsidRPr="00A54001" w:rsidRDefault="00BC16DD" w:rsidP="000D0EF0">
            <w:pPr>
              <w:spacing w:after="0" w:line="240" w:lineRule="auto"/>
              <w:rPr>
                <w:rFonts w:ascii="Verdana" w:eastAsia="Times New Roman" w:hAnsi="Verdana" w:cs="Arial"/>
                <w:sz w:val="20"/>
                <w:szCs w:val="20"/>
                <w:lang w:eastAsia="es-ES"/>
              </w:rPr>
            </w:pPr>
            <w:r w:rsidRPr="00BC16DD">
              <w:rPr>
                <w:rFonts w:ascii="Verdana" w:hAnsi="Verdana"/>
                <w:sz w:val="20"/>
                <w:szCs w:val="20"/>
              </w:rPr>
              <w:t xml:space="preserve">Se recurre ante esta Corte, para que </w:t>
            </w:r>
            <w:r>
              <w:rPr>
                <w:rFonts w:ascii="Verdana" w:hAnsi="Verdana"/>
                <w:sz w:val="20"/>
                <w:szCs w:val="20"/>
              </w:rPr>
              <w:t>“</w:t>
            </w:r>
            <w:r w:rsidRPr="00BC16DD">
              <w:rPr>
                <w:rFonts w:ascii="Verdana" w:hAnsi="Verdana"/>
                <w:sz w:val="20"/>
                <w:szCs w:val="20"/>
              </w:rPr>
              <w:t>se ponga fin a la situación agrícola y arbitraria que le afecta a la recurrente en relación a sus derechos sobre el suelo y las aguas de su predio agrícola, restableciéndose de ese modo el imperio del derecho y se adopten las medidas que estimen conducentes a su debida protección.</w:t>
            </w:r>
            <w:r>
              <w:rPr>
                <w:rFonts w:ascii="Verdana" w:hAnsi="Verdana"/>
                <w:sz w:val="20"/>
                <w:szCs w:val="20"/>
              </w:rPr>
              <w:t xml:space="preserve"> </w:t>
            </w:r>
            <w:r w:rsidRPr="00BC16DD">
              <w:rPr>
                <w:rFonts w:ascii="Verdana" w:hAnsi="Verdana"/>
                <w:sz w:val="20"/>
                <w:szCs w:val="20"/>
              </w:rPr>
              <w:t xml:space="preserve">La recurrida es propietaria de la planta minera </w:t>
            </w:r>
            <w:proofErr w:type="spellStart"/>
            <w:r w:rsidRPr="00BC16DD">
              <w:rPr>
                <w:rFonts w:ascii="Verdana" w:hAnsi="Verdana"/>
                <w:sz w:val="20"/>
                <w:szCs w:val="20"/>
              </w:rPr>
              <w:t>Panulcillo</w:t>
            </w:r>
            <w:proofErr w:type="spellEnd"/>
            <w:r w:rsidRPr="00BC16DD">
              <w:rPr>
                <w:rFonts w:ascii="Verdana" w:hAnsi="Verdana"/>
                <w:sz w:val="20"/>
                <w:szCs w:val="20"/>
              </w:rPr>
              <w:t xml:space="preserve"> o La Cocinera, ubicada en el lugar Lagunillas, Comuna de Ovalle, la que se encuentra situada materialmente en altura, en los faldeos del terreno</w:t>
            </w:r>
            <w:r>
              <w:rPr>
                <w:rFonts w:ascii="Verdana" w:hAnsi="Verdana"/>
                <w:sz w:val="20"/>
                <w:szCs w:val="20"/>
              </w:rPr>
              <w:t>, sobre el Estero El Ingenio.</w:t>
            </w:r>
            <w:r>
              <w:rPr>
                <w:rFonts w:ascii="Verdana" w:hAnsi="Verdana"/>
                <w:sz w:val="20"/>
                <w:szCs w:val="20"/>
              </w:rPr>
              <w:br/>
            </w:r>
            <w:r w:rsidRPr="00BC16DD">
              <w:rPr>
                <w:rFonts w:ascii="Verdana" w:hAnsi="Verdana"/>
                <w:sz w:val="20"/>
                <w:szCs w:val="20"/>
              </w:rPr>
              <w:t>Dicha planta produce con su funcionamiento y particularmente con el vertido y disposición de sus relaves y desechos, gravísimos perjuicios ambientales, especialmente por contaminación sobre la quebrada y Estero El Ingenio, es decir, cauces y aguas, y también sobre los predios vecinos entre los que se encuentra el de la recurrente, situación que se arrastra desde hace 140 años, a decir de la propia recurrida en carta de fecha 29 de enero de 2004, que se acompaña en este libelo.</w:t>
            </w:r>
            <w:r>
              <w:rPr>
                <w:rFonts w:ascii="Verdana" w:hAnsi="Verdana"/>
                <w:sz w:val="20"/>
                <w:szCs w:val="20"/>
              </w:rPr>
              <w:t>”</w:t>
            </w:r>
            <w:r w:rsidRPr="00BC16DD">
              <w:rPr>
                <w:rFonts w:ascii="Verdana" w:hAnsi="Verdana"/>
                <w:sz w:val="20"/>
                <w:szCs w:val="20"/>
              </w:rPr>
              <w:br/>
            </w:r>
          </w:p>
        </w:tc>
      </w:tr>
      <w:tr w:rsidR="00A54001" w:rsidRPr="00A54001" w:rsidTr="00001E92">
        <w:trPr>
          <w:trHeight w:val="1887"/>
        </w:trPr>
        <w:tc>
          <w:tcPr>
            <w:tcW w:w="2296" w:type="dxa"/>
            <w:tcBorders>
              <w:top w:val="nil"/>
              <w:left w:val="single" w:sz="4" w:space="0" w:color="auto"/>
              <w:bottom w:val="single" w:sz="4" w:space="0" w:color="auto"/>
              <w:right w:val="single" w:sz="4" w:space="0" w:color="auto"/>
            </w:tcBorders>
            <w:vAlign w:val="center"/>
          </w:tcPr>
          <w:p w:rsidR="00A54001" w:rsidRPr="00A54001" w:rsidRDefault="00A54001" w:rsidP="000D0EF0">
            <w:pPr>
              <w:spacing w:after="0" w:line="240" w:lineRule="auto"/>
              <w:rPr>
                <w:rFonts w:ascii="Verdana" w:eastAsia="Times New Roman" w:hAnsi="Verdana" w:cs="Arial"/>
                <w:sz w:val="20"/>
                <w:szCs w:val="20"/>
                <w:lang w:val="es-ES" w:eastAsia="es-ES"/>
              </w:rPr>
            </w:pPr>
            <w:r w:rsidRPr="00A54001">
              <w:rPr>
                <w:rFonts w:ascii="Verdana" w:eastAsia="Times New Roman" w:hAnsi="Verdana" w:cs="Arial"/>
                <w:sz w:val="20"/>
                <w:szCs w:val="20"/>
                <w:lang w:val="es-ES" w:eastAsia="es-ES"/>
              </w:rPr>
              <w:t xml:space="preserve">Indicar considerandos relevantes </w:t>
            </w:r>
          </w:p>
        </w:tc>
        <w:tc>
          <w:tcPr>
            <w:tcW w:w="6541" w:type="dxa"/>
            <w:tcBorders>
              <w:top w:val="single" w:sz="4" w:space="0" w:color="auto"/>
              <w:left w:val="nil"/>
              <w:bottom w:val="single" w:sz="4" w:space="0" w:color="auto"/>
              <w:right w:val="single" w:sz="4" w:space="0" w:color="000000"/>
            </w:tcBorders>
            <w:vAlign w:val="center"/>
          </w:tcPr>
          <w:p w:rsidR="00A54001" w:rsidRPr="00A54001" w:rsidRDefault="001601A0" w:rsidP="000D0EF0">
            <w:pPr>
              <w:spacing w:after="0" w:line="240" w:lineRule="auto"/>
              <w:rPr>
                <w:rFonts w:ascii="Verdana" w:eastAsia="Times New Roman" w:hAnsi="Verdana" w:cs="Arial"/>
                <w:sz w:val="20"/>
                <w:szCs w:val="20"/>
                <w:lang w:eastAsia="es-ES"/>
              </w:rPr>
            </w:pPr>
            <w:r>
              <w:rPr>
                <w:rFonts w:ascii="Verdana" w:eastAsia="Times New Roman" w:hAnsi="Verdana" w:cs="Arial"/>
                <w:sz w:val="20"/>
                <w:szCs w:val="20"/>
                <w:lang w:val="es-ES" w:eastAsia="es-ES"/>
              </w:rPr>
              <w:t xml:space="preserve">Sexto: </w:t>
            </w:r>
            <w:r w:rsidRPr="001601A0">
              <w:rPr>
                <w:rFonts w:ascii="Verdana" w:eastAsia="Times New Roman" w:hAnsi="Verdana" w:cs="Arial"/>
                <w:sz w:val="20"/>
                <w:szCs w:val="20"/>
                <w:lang w:val="es-ES" w:eastAsia="es-ES"/>
              </w:rPr>
              <w:t>“</w:t>
            </w:r>
            <w:r w:rsidRPr="001601A0">
              <w:rPr>
                <w:rFonts w:ascii="Verdana" w:hAnsi="Verdana"/>
                <w:sz w:val="20"/>
                <w:szCs w:val="20"/>
              </w:rPr>
              <w:t xml:space="preserve">Que haciendo la apreciación en conjunto y conforme a las reglas de la sana crítica respecto de los antecedentes mencionados, es posible concluir lo siguiente: Que se concede más valor a la prueba de la recurrida en atención a encontrarse sustentada principalmente en lo resuelto por la autoridad encargada de controlar e impedir la contaminación del medio ambiente, como es la Comisión Regional del Medio Ambiente de la IV Región, que calificó favorablemente el proyecto orientado a la prosecución del funcionamiento de su planta de tratamiento de minerales, lo </w:t>
            </w:r>
            <w:r w:rsidRPr="001601A0">
              <w:rPr>
                <w:rFonts w:ascii="Verdana" w:hAnsi="Verdana"/>
                <w:sz w:val="20"/>
                <w:szCs w:val="20"/>
              </w:rPr>
              <w:lastRenderedPageBreak/>
              <w:t xml:space="preserve">que hizo por medio de la resolución exenta Nº 18, de 17 de febrero de 2004, citada, en la que se señaló expresamente que dicho proyecto no generaba ninguno de los efectos referidos en el artículo 11 de la ley 19.300, debiéndosele dar primacía a este antecedente sobre aquellos allegados por la recurrente, uno de los cuales se debe descartar por su antigüedad, como sucede con el informe hecho para </w:t>
            </w:r>
            <w:proofErr w:type="spellStart"/>
            <w:r w:rsidRPr="001601A0">
              <w:rPr>
                <w:rFonts w:ascii="Verdana" w:hAnsi="Verdana"/>
                <w:sz w:val="20"/>
                <w:szCs w:val="20"/>
              </w:rPr>
              <w:t>Conama</w:t>
            </w:r>
            <w:proofErr w:type="spellEnd"/>
            <w:r w:rsidRPr="001601A0">
              <w:rPr>
                <w:rFonts w:ascii="Verdana" w:hAnsi="Verdana"/>
                <w:sz w:val="20"/>
                <w:szCs w:val="20"/>
              </w:rPr>
              <w:t xml:space="preserve"> en 1999 por Ingenieros Geotécnicos Ltda. y el otro que se señala efectuado por el químico Héctor </w:t>
            </w:r>
            <w:proofErr w:type="spellStart"/>
            <w:r w:rsidRPr="001601A0">
              <w:rPr>
                <w:rFonts w:ascii="Verdana" w:hAnsi="Verdana"/>
                <w:sz w:val="20"/>
                <w:szCs w:val="20"/>
              </w:rPr>
              <w:t>Maureira</w:t>
            </w:r>
            <w:proofErr w:type="spellEnd"/>
            <w:r w:rsidRPr="001601A0">
              <w:rPr>
                <w:rFonts w:ascii="Verdana" w:hAnsi="Verdana"/>
                <w:sz w:val="20"/>
                <w:szCs w:val="20"/>
              </w:rPr>
              <w:t xml:space="preserve"> Castillo, por verse desvirtuado por lo informado en relación al proyecto por los organismos del Estado con competencia en materia ambiental, lo que se ve confirmado en especial por la dictación de la resolución exenta Nº 69 de 12 de enero de 2005, del Servicio de Salud Coquimbo, en la que se da cuenta de una serie de etapas a cumplirse por la recurrida en orden a implementar medidas de protección del medio ambiente, encontrándose el control de las mismas a cargo de dicho servicio. </w:t>
            </w:r>
            <w:proofErr w:type="spellStart"/>
            <w:r w:rsidRPr="001601A0">
              <w:rPr>
                <w:rFonts w:ascii="Verdana" w:hAnsi="Verdana"/>
                <w:sz w:val="20"/>
                <w:szCs w:val="20"/>
              </w:rPr>
              <w:t>Tiénese</w:t>
            </w:r>
            <w:proofErr w:type="spellEnd"/>
            <w:r w:rsidRPr="001601A0">
              <w:rPr>
                <w:rFonts w:ascii="Verdana" w:hAnsi="Verdana"/>
                <w:sz w:val="20"/>
                <w:szCs w:val="20"/>
              </w:rPr>
              <w:t xml:space="preserve"> de esta manera por acreditado que el funcionamiento de la planta de tratamiento de minerales La Cocinera, perteneciente a la recurrida, actualmente, no produce la contaminación que señala la recurrente en su escrito de recurso y que se encuentran adoptadas medidas, cuyo control está en manos de la autoridad respectiva, a fin de impedir cualquier efecto contaminante del proceso.</w:t>
            </w:r>
            <w:r>
              <w:rPr>
                <w:rFonts w:ascii="Verdana" w:hAnsi="Verdana"/>
                <w:sz w:val="20"/>
                <w:szCs w:val="20"/>
              </w:rPr>
              <w:t>”</w:t>
            </w:r>
          </w:p>
        </w:tc>
      </w:tr>
      <w:tr w:rsidR="00A54001" w:rsidRPr="00A54001" w:rsidTr="00001E92">
        <w:trPr>
          <w:trHeight w:val="984"/>
        </w:trPr>
        <w:tc>
          <w:tcPr>
            <w:tcW w:w="2296" w:type="dxa"/>
            <w:tcBorders>
              <w:top w:val="nil"/>
              <w:left w:val="single" w:sz="4" w:space="0" w:color="auto"/>
              <w:bottom w:val="single" w:sz="4" w:space="0" w:color="auto"/>
              <w:right w:val="single" w:sz="4" w:space="0" w:color="auto"/>
            </w:tcBorders>
            <w:vAlign w:val="center"/>
          </w:tcPr>
          <w:p w:rsidR="00A54001" w:rsidRPr="00A54001" w:rsidRDefault="00A54001" w:rsidP="00A54001">
            <w:pPr>
              <w:spacing w:after="0" w:line="240" w:lineRule="auto"/>
              <w:rPr>
                <w:rFonts w:ascii="Verdana" w:eastAsia="Times New Roman" w:hAnsi="Verdana" w:cs="Arial"/>
                <w:sz w:val="20"/>
                <w:szCs w:val="20"/>
                <w:lang w:val="es-ES" w:eastAsia="es-ES"/>
              </w:rPr>
            </w:pPr>
            <w:r w:rsidRPr="00A54001">
              <w:rPr>
                <w:rFonts w:ascii="Verdana" w:eastAsia="Times New Roman" w:hAnsi="Verdana" w:cs="Arial"/>
                <w:sz w:val="20"/>
                <w:szCs w:val="20"/>
                <w:lang w:val="es-ES" w:eastAsia="es-ES"/>
              </w:rPr>
              <w:lastRenderedPageBreak/>
              <w:t>Resultado del</w:t>
            </w:r>
          </w:p>
          <w:p w:rsidR="00A54001" w:rsidRPr="00A54001" w:rsidRDefault="00A54001" w:rsidP="00A54001">
            <w:pPr>
              <w:spacing w:after="0" w:line="240" w:lineRule="auto"/>
              <w:rPr>
                <w:rFonts w:ascii="Verdana" w:eastAsia="Times New Roman" w:hAnsi="Verdana" w:cs="Arial"/>
                <w:sz w:val="20"/>
                <w:szCs w:val="20"/>
                <w:lang w:val="es-ES" w:eastAsia="es-ES"/>
              </w:rPr>
            </w:pPr>
            <w:r w:rsidRPr="00A54001">
              <w:rPr>
                <w:rFonts w:ascii="Verdana" w:eastAsia="Times New Roman" w:hAnsi="Verdana" w:cs="Arial"/>
                <w:sz w:val="20"/>
                <w:szCs w:val="20"/>
                <w:lang w:val="es-ES" w:eastAsia="es-ES"/>
              </w:rPr>
              <w:t>Fallo</w:t>
            </w:r>
          </w:p>
        </w:tc>
        <w:tc>
          <w:tcPr>
            <w:tcW w:w="6541" w:type="dxa"/>
            <w:tcBorders>
              <w:top w:val="single" w:sz="4" w:space="0" w:color="auto"/>
              <w:left w:val="nil"/>
              <w:bottom w:val="single" w:sz="4" w:space="0" w:color="auto"/>
              <w:right w:val="single" w:sz="4" w:space="0" w:color="000000"/>
            </w:tcBorders>
            <w:vAlign w:val="center"/>
          </w:tcPr>
          <w:p w:rsidR="000D0EF0" w:rsidRDefault="000D0EF0" w:rsidP="000D0EF0">
            <w:pPr>
              <w:spacing w:after="0" w:line="240" w:lineRule="auto"/>
              <w:rPr>
                <w:rFonts w:ascii="Verdana" w:eastAsia="Times New Roman" w:hAnsi="Verdana" w:cs="Arial"/>
                <w:sz w:val="20"/>
                <w:szCs w:val="20"/>
                <w:lang w:val="es-ES_tradnl" w:eastAsia="es-ES"/>
              </w:rPr>
            </w:pPr>
          </w:p>
          <w:p w:rsidR="00A54001" w:rsidRDefault="000E6811" w:rsidP="000D0EF0">
            <w:pPr>
              <w:spacing w:after="0" w:line="240" w:lineRule="auto"/>
              <w:rPr>
                <w:rFonts w:ascii="Verdana" w:eastAsia="Times New Roman" w:hAnsi="Verdana" w:cs="Arial"/>
                <w:sz w:val="20"/>
                <w:szCs w:val="20"/>
                <w:lang w:val="es-ES_tradnl" w:eastAsia="es-ES"/>
              </w:rPr>
            </w:pPr>
            <w:r>
              <w:rPr>
                <w:rFonts w:ascii="Verdana" w:eastAsia="Times New Roman" w:hAnsi="Verdana" w:cs="Arial"/>
                <w:sz w:val="20"/>
                <w:szCs w:val="20"/>
                <w:lang w:val="es-ES_tradnl" w:eastAsia="es-ES"/>
              </w:rPr>
              <w:t>CORTE DE APELACIONES:</w:t>
            </w:r>
          </w:p>
          <w:p w:rsidR="000E6811" w:rsidRDefault="000E6811" w:rsidP="000D0EF0">
            <w:pPr>
              <w:spacing w:after="0" w:line="240" w:lineRule="auto"/>
              <w:rPr>
                <w:rFonts w:ascii="Verdana" w:eastAsia="Times New Roman" w:hAnsi="Verdana" w:cs="Arial"/>
                <w:sz w:val="20"/>
                <w:szCs w:val="20"/>
                <w:lang w:eastAsia="es-ES"/>
              </w:rPr>
            </w:pPr>
            <w:r w:rsidRPr="000E6811">
              <w:rPr>
                <w:rFonts w:ascii="Verdana" w:hAnsi="Verdana"/>
                <w:sz w:val="20"/>
                <w:szCs w:val="20"/>
              </w:rPr>
              <w:t>“</w:t>
            </w:r>
            <w:r>
              <w:rPr>
                <w:rFonts w:ascii="Verdana" w:hAnsi="Verdana"/>
                <w:sz w:val="20"/>
                <w:szCs w:val="20"/>
              </w:rPr>
              <w:t>S</w:t>
            </w:r>
            <w:r w:rsidRPr="000E6811">
              <w:rPr>
                <w:rFonts w:ascii="Verdana" w:hAnsi="Verdana"/>
                <w:sz w:val="20"/>
                <w:szCs w:val="20"/>
              </w:rPr>
              <w:t xml:space="preserve">e rechaza el recurso de protección deducido por don Gustavo Manríquez Lobos en representación de </w:t>
            </w:r>
            <w:proofErr w:type="spellStart"/>
            <w:r w:rsidRPr="000E6811">
              <w:rPr>
                <w:rFonts w:ascii="Verdana" w:hAnsi="Verdana"/>
                <w:sz w:val="20"/>
                <w:szCs w:val="20"/>
              </w:rPr>
              <w:t>Agronoble</w:t>
            </w:r>
            <w:proofErr w:type="spellEnd"/>
            <w:r w:rsidRPr="000E6811">
              <w:rPr>
                <w:rFonts w:ascii="Verdana" w:hAnsi="Verdana"/>
                <w:sz w:val="20"/>
                <w:szCs w:val="20"/>
              </w:rPr>
              <w:t xml:space="preserve"> S.A. en lo principal del escrito de fs. 121 y siguientes, sin costas, por estimarse que existió motivo plausible para la interposición del recurso.”</w:t>
            </w:r>
            <w:r w:rsidRPr="000E6811">
              <w:rPr>
                <w:rFonts w:ascii="Verdana" w:hAnsi="Verdana"/>
                <w:sz w:val="20"/>
                <w:szCs w:val="20"/>
              </w:rPr>
              <w:br/>
            </w:r>
          </w:p>
          <w:p w:rsidR="000E6811" w:rsidRDefault="000E6811" w:rsidP="000D0EF0">
            <w:pPr>
              <w:spacing w:after="0" w:line="240" w:lineRule="auto"/>
              <w:rPr>
                <w:rFonts w:ascii="Verdana" w:eastAsia="Times New Roman" w:hAnsi="Verdana" w:cs="Arial"/>
                <w:sz w:val="20"/>
                <w:szCs w:val="20"/>
                <w:lang w:eastAsia="es-ES"/>
              </w:rPr>
            </w:pPr>
            <w:r>
              <w:rPr>
                <w:rFonts w:ascii="Verdana" w:eastAsia="Times New Roman" w:hAnsi="Verdana" w:cs="Arial"/>
                <w:sz w:val="20"/>
                <w:szCs w:val="20"/>
                <w:lang w:eastAsia="es-ES"/>
              </w:rPr>
              <w:t>CORTE SUPREMA:</w:t>
            </w:r>
          </w:p>
          <w:p w:rsidR="000E6811" w:rsidRDefault="000E6811" w:rsidP="000D0EF0">
            <w:pPr>
              <w:spacing w:after="0" w:line="240" w:lineRule="auto"/>
              <w:rPr>
                <w:rFonts w:ascii="Verdana" w:hAnsi="Verdana"/>
                <w:sz w:val="20"/>
                <w:szCs w:val="20"/>
              </w:rPr>
            </w:pPr>
            <w:r>
              <w:rPr>
                <w:rFonts w:ascii="Verdana" w:hAnsi="Verdana"/>
                <w:sz w:val="20"/>
                <w:szCs w:val="20"/>
              </w:rPr>
              <w:t>“</w:t>
            </w:r>
            <w:r w:rsidRPr="000E6811">
              <w:rPr>
                <w:rFonts w:ascii="Verdana" w:hAnsi="Verdana"/>
                <w:sz w:val="20"/>
                <w:szCs w:val="20"/>
              </w:rPr>
              <w:t xml:space="preserve">Se confirma la sentencia apelada de catorce de junio pasado, </w:t>
            </w:r>
            <w:r>
              <w:rPr>
                <w:rFonts w:ascii="Verdana" w:hAnsi="Verdana"/>
                <w:sz w:val="20"/>
                <w:szCs w:val="20"/>
              </w:rPr>
              <w:t>escrita a fojas 226.</w:t>
            </w:r>
          </w:p>
          <w:p w:rsidR="000E6811" w:rsidRPr="00A54001" w:rsidRDefault="000E6811" w:rsidP="000D0EF0">
            <w:pPr>
              <w:spacing w:after="0" w:line="240" w:lineRule="auto"/>
              <w:rPr>
                <w:rFonts w:ascii="Verdana" w:eastAsia="Times New Roman" w:hAnsi="Verdana" w:cs="Arial"/>
                <w:sz w:val="20"/>
                <w:szCs w:val="20"/>
                <w:lang w:eastAsia="es-ES"/>
              </w:rPr>
            </w:pPr>
            <w:r w:rsidRPr="000E6811">
              <w:rPr>
                <w:rFonts w:ascii="Verdana" w:hAnsi="Verdana"/>
                <w:sz w:val="20"/>
                <w:szCs w:val="20"/>
              </w:rPr>
              <w:t xml:space="preserve">Se previene que el Ministro señor </w:t>
            </w:r>
            <w:proofErr w:type="spellStart"/>
            <w:r w:rsidRPr="000E6811">
              <w:rPr>
                <w:rFonts w:ascii="Verdana" w:hAnsi="Verdana"/>
                <w:sz w:val="20"/>
                <w:szCs w:val="20"/>
              </w:rPr>
              <w:t>Benquis</w:t>
            </w:r>
            <w:proofErr w:type="spellEnd"/>
            <w:r w:rsidRPr="000E6811">
              <w:rPr>
                <w:rFonts w:ascii="Verdana" w:hAnsi="Verdana"/>
                <w:sz w:val="20"/>
                <w:szCs w:val="20"/>
              </w:rPr>
              <w:t>, estuvo por confirmar la referida sentencia pero fundado en que el recurso de que se trata ha sido interpuesto extemporáneamente.</w:t>
            </w:r>
            <w:r w:rsidRPr="000E6811">
              <w:rPr>
                <w:rFonts w:ascii="Verdana" w:hAnsi="Verdana"/>
                <w:sz w:val="20"/>
                <w:szCs w:val="20"/>
              </w:rPr>
              <w:br/>
            </w:r>
            <w:r w:rsidRPr="000E6811">
              <w:rPr>
                <w:rFonts w:ascii="Verdana" w:hAnsi="Verdana"/>
                <w:sz w:val="20"/>
                <w:szCs w:val="20"/>
              </w:rPr>
              <w:br/>
              <w:t xml:space="preserve"> Regístrese y </w:t>
            </w:r>
            <w:r>
              <w:rPr>
                <w:rFonts w:ascii="Verdana" w:hAnsi="Verdana"/>
                <w:sz w:val="20"/>
                <w:szCs w:val="20"/>
              </w:rPr>
              <w:t xml:space="preserve">devuélvase con sus agregados. </w:t>
            </w:r>
            <w:r>
              <w:rPr>
                <w:rFonts w:ascii="Verdana" w:hAnsi="Verdana"/>
                <w:sz w:val="20"/>
                <w:szCs w:val="20"/>
              </w:rPr>
              <w:br/>
            </w:r>
            <w:r w:rsidRPr="000E6811">
              <w:rPr>
                <w:rFonts w:ascii="Verdana" w:hAnsi="Verdana"/>
                <w:sz w:val="20"/>
                <w:szCs w:val="20"/>
              </w:rPr>
              <w:t xml:space="preserve"> Pronunciada por la Cuarta Sala de la Corte Suprema integrada por los Ministros señores José </w:t>
            </w:r>
            <w:proofErr w:type="spellStart"/>
            <w:r w:rsidRPr="000E6811">
              <w:rPr>
                <w:rFonts w:ascii="Verdana" w:hAnsi="Verdana"/>
                <w:sz w:val="20"/>
                <w:szCs w:val="20"/>
              </w:rPr>
              <w:t>Benquis</w:t>
            </w:r>
            <w:proofErr w:type="spellEnd"/>
            <w:r w:rsidRPr="000E6811">
              <w:rPr>
                <w:rFonts w:ascii="Verdana" w:hAnsi="Verdana"/>
                <w:sz w:val="20"/>
                <w:szCs w:val="20"/>
              </w:rPr>
              <w:t xml:space="preserve"> C., José Luis Pérez Z., Orlando </w:t>
            </w:r>
            <w:proofErr w:type="spellStart"/>
            <w:r w:rsidRPr="000E6811">
              <w:rPr>
                <w:rFonts w:ascii="Verdana" w:hAnsi="Verdana"/>
                <w:sz w:val="20"/>
                <w:szCs w:val="20"/>
              </w:rPr>
              <w:t>Alvarez</w:t>
            </w:r>
            <w:proofErr w:type="spellEnd"/>
            <w:r w:rsidRPr="000E6811">
              <w:rPr>
                <w:rFonts w:ascii="Verdana" w:hAnsi="Verdana"/>
                <w:sz w:val="20"/>
                <w:szCs w:val="20"/>
              </w:rPr>
              <w:t xml:space="preserve"> H., Urbano Marín V. y Jorge Medina C.</w:t>
            </w:r>
            <w:r>
              <w:rPr>
                <w:rFonts w:ascii="Verdana" w:hAnsi="Verdana"/>
                <w:sz w:val="20"/>
                <w:szCs w:val="20"/>
              </w:rPr>
              <w:t>”</w:t>
            </w:r>
            <w:r w:rsidRPr="000E6811">
              <w:rPr>
                <w:rFonts w:ascii="Verdana" w:hAnsi="Verdana"/>
                <w:sz w:val="20"/>
                <w:szCs w:val="20"/>
              </w:rPr>
              <w:t xml:space="preserve"> </w:t>
            </w:r>
            <w:r w:rsidRPr="000E6811">
              <w:rPr>
                <w:rFonts w:ascii="Verdana" w:hAnsi="Verdana"/>
                <w:sz w:val="20"/>
                <w:szCs w:val="20"/>
              </w:rPr>
              <w:br/>
            </w:r>
          </w:p>
        </w:tc>
      </w:tr>
      <w:tr w:rsidR="00A54001" w:rsidRPr="00A54001" w:rsidTr="00001E92">
        <w:trPr>
          <w:trHeight w:val="984"/>
        </w:trPr>
        <w:tc>
          <w:tcPr>
            <w:tcW w:w="2296" w:type="dxa"/>
            <w:tcBorders>
              <w:top w:val="nil"/>
              <w:left w:val="single" w:sz="4" w:space="0" w:color="auto"/>
              <w:bottom w:val="single" w:sz="4" w:space="0" w:color="auto"/>
              <w:right w:val="single" w:sz="4" w:space="0" w:color="auto"/>
            </w:tcBorders>
            <w:vAlign w:val="center"/>
          </w:tcPr>
          <w:p w:rsidR="00A54001" w:rsidRPr="00A54001" w:rsidRDefault="00A54001" w:rsidP="00A54001">
            <w:pPr>
              <w:spacing w:after="0" w:line="240" w:lineRule="auto"/>
              <w:rPr>
                <w:rFonts w:ascii="Verdana" w:eastAsia="Times New Roman" w:hAnsi="Verdana" w:cs="Arial"/>
                <w:sz w:val="20"/>
                <w:szCs w:val="20"/>
                <w:lang w:val="es-ES" w:eastAsia="es-ES"/>
              </w:rPr>
            </w:pPr>
            <w:r w:rsidRPr="00A54001">
              <w:rPr>
                <w:rFonts w:ascii="Verdana" w:eastAsia="Times New Roman" w:hAnsi="Verdana" w:cs="Arial"/>
                <w:sz w:val="20"/>
                <w:szCs w:val="20"/>
                <w:lang w:val="es-ES" w:eastAsia="es-ES"/>
              </w:rPr>
              <w:t>Otras Observaciones</w:t>
            </w:r>
          </w:p>
        </w:tc>
        <w:tc>
          <w:tcPr>
            <w:tcW w:w="6541" w:type="dxa"/>
            <w:tcBorders>
              <w:top w:val="single" w:sz="4" w:space="0" w:color="auto"/>
              <w:left w:val="nil"/>
              <w:bottom w:val="single" w:sz="4" w:space="0" w:color="auto"/>
              <w:right w:val="single" w:sz="4" w:space="0" w:color="000000"/>
            </w:tcBorders>
            <w:vAlign w:val="center"/>
          </w:tcPr>
          <w:p w:rsidR="00A54001" w:rsidRPr="00A54001" w:rsidRDefault="000E6811" w:rsidP="000D0EF0">
            <w:pPr>
              <w:spacing w:after="0" w:line="240" w:lineRule="auto"/>
              <w:rPr>
                <w:rFonts w:ascii="Verdana" w:eastAsia="Times New Roman" w:hAnsi="Verdana" w:cs="Arial"/>
                <w:sz w:val="20"/>
                <w:szCs w:val="20"/>
                <w:lang w:val="es-ES" w:eastAsia="es-ES"/>
              </w:rPr>
            </w:pPr>
            <w:r>
              <w:rPr>
                <w:rFonts w:ascii="Verdana" w:eastAsia="Times New Roman" w:hAnsi="Verdana" w:cs="Arial"/>
                <w:sz w:val="20"/>
                <w:szCs w:val="20"/>
                <w:lang w:val="es-ES" w:eastAsia="es-ES"/>
              </w:rPr>
              <w:t>No hay observaciones relevantes.</w:t>
            </w:r>
          </w:p>
        </w:tc>
      </w:tr>
    </w:tbl>
    <w:p w:rsidR="00A54001" w:rsidRPr="00A54001" w:rsidRDefault="00A54001" w:rsidP="00A54001">
      <w:pPr>
        <w:spacing w:after="0" w:line="240" w:lineRule="auto"/>
        <w:rPr>
          <w:rFonts w:ascii="Verdana" w:eastAsia="Times New Roman" w:hAnsi="Verdana" w:cs="Times New Roman"/>
          <w:sz w:val="24"/>
          <w:szCs w:val="24"/>
          <w:lang w:val="es-ES" w:eastAsia="es-ES"/>
        </w:rPr>
      </w:pPr>
    </w:p>
    <w:p w:rsidR="00A54001" w:rsidRPr="00A54001" w:rsidRDefault="00A54001" w:rsidP="00A54001">
      <w:pPr>
        <w:spacing w:after="0" w:line="240" w:lineRule="auto"/>
        <w:rPr>
          <w:rFonts w:ascii="Times New Roman" w:eastAsia="Times New Roman" w:hAnsi="Times New Roman" w:cs="Times New Roman"/>
          <w:sz w:val="24"/>
          <w:szCs w:val="24"/>
          <w:lang w:val="es-ES" w:eastAsia="es-ES"/>
        </w:rPr>
      </w:pPr>
    </w:p>
    <w:p w:rsidR="00A54001" w:rsidRPr="00A54001" w:rsidRDefault="00A54001" w:rsidP="00A54001">
      <w:pPr>
        <w:spacing w:after="0" w:line="240" w:lineRule="auto"/>
        <w:rPr>
          <w:rFonts w:ascii="Times New Roman" w:eastAsia="Times New Roman" w:hAnsi="Times New Roman" w:cs="Times New Roman"/>
          <w:sz w:val="24"/>
          <w:szCs w:val="24"/>
          <w:lang w:val="es-ES" w:eastAsia="es-ES"/>
        </w:rPr>
      </w:pPr>
    </w:p>
    <w:p w:rsidR="00AE3669" w:rsidRDefault="00AE3669"/>
    <w:sectPr w:rsidR="00AE3669" w:rsidSect="002A323E">
      <w:pgSz w:w="12240" w:h="15840" w:code="1"/>
      <w:pgMar w:top="1417" w:right="1701" w:bottom="1417" w:left="1701" w:header="720" w:footer="720" w:gutter="0"/>
      <w:cols w:space="708"/>
      <w:docGrid w:linePitch="25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4001"/>
    <w:rsid w:val="000D0EF0"/>
    <w:rsid w:val="000E6811"/>
    <w:rsid w:val="001601A0"/>
    <w:rsid w:val="004E29DF"/>
    <w:rsid w:val="00A54001"/>
    <w:rsid w:val="00AE3669"/>
    <w:rsid w:val="00B351A0"/>
    <w:rsid w:val="00BC16DD"/>
    <w:rsid w:val="00CE009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1A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675</Words>
  <Characters>3716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Celeste Ulloa</dc:creator>
  <cp:lastModifiedBy>Pinocho</cp:lastModifiedBy>
  <cp:revision>3</cp:revision>
  <dcterms:created xsi:type="dcterms:W3CDTF">2011-12-01T17:19:00Z</dcterms:created>
  <dcterms:modified xsi:type="dcterms:W3CDTF">2011-12-05T14:46:00Z</dcterms:modified>
</cp:coreProperties>
</file>